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w:t>
      </w:r>
      <w:r w:rsidR="001411BC">
        <w:rPr>
          <w:rFonts w:ascii="Century Gothic" w:hAnsi="Century Gothic"/>
          <w:b/>
        </w:rPr>
        <w:t xml:space="preserve"> </w:t>
      </w:r>
      <w:hyperlink r:id="rId5" w:history="1">
        <w:r w:rsidR="001411BC" w:rsidRPr="00162962">
          <w:rPr>
            <w:rStyle w:val="Collegamentoipertestuale"/>
            <w:rFonts w:ascii="Century Gothic" w:hAnsi="Century Gothic"/>
            <w:b/>
          </w:rPr>
          <w:t>segreteria@pec.bccconversanoweb.it</w:t>
        </w:r>
      </w:hyperlink>
      <w:r w:rsidR="001411BC">
        <w:rPr>
          <w:rFonts w:ascii="Century Gothic" w:hAnsi="Century Gothic"/>
          <w:b/>
        </w:rPr>
        <w:t xml:space="preserve"> </w:t>
      </w:r>
      <w:bookmarkStart w:id="0" w:name="_GoBack"/>
      <w:bookmarkEnd w:id="0"/>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9066"/>
      </w:tblGrid>
      <w:tr w:rsidR="005325EA" w:rsidTr="00C949FB">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C949FB">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C949FB">
        <w:tc>
          <w:tcPr>
            <w:tcW w:w="562" w:type="dxa"/>
            <w:tcBorders>
              <w:top w:val="nil"/>
              <w:left w:val="nil"/>
              <w:right w:val="nil"/>
            </w:tcBorders>
          </w:tcPr>
          <w:p w:rsidR="00C949FB" w:rsidRDefault="00C949FB">
            <w:pPr>
              <w:rPr>
                <w:rFonts w:ascii="Century Gothic" w:hAnsi="Century Gothic"/>
              </w:rPr>
            </w:pPr>
          </w:p>
        </w:tc>
        <w:tc>
          <w:tcPr>
            <w:tcW w:w="9066" w:type="dxa"/>
            <w:tcBorders>
              <w:left w:val="nil"/>
              <w:bottom w:val="single" w:sz="4" w:space="0" w:color="auto"/>
              <w:right w:val="nil"/>
            </w:tcBorders>
          </w:tcPr>
          <w:p w:rsidR="00C949FB" w:rsidRDefault="00C949FB">
            <w:pPr>
              <w:rPr>
                <w:rFonts w:ascii="Century Gothic" w:hAnsi="Century Gothic"/>
              </w:rPr>
            </w:pPr>
          </w:p>
        </w:tc>
      </w:tr>
      <w:tr w:rsidR="005325EA" w:rsidTr="003A5080">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3A5080">
        <w:tc>
          <w:tcPr>
            <w:tcW w:w="562" w:type="dxa"/>
            <w:tcBorders>
              <w:left w:val="nil"/>
              <w:bottom w:val="nil"/>
            </w:tcBorders>
          </w:tcPr>
          <w:p w:rsidR="00C074F5" w:rsidRDefault="00C074F5">
            <w:pPr>
              <w:rPr>
                <w:rFonts w:ascii="Century Gothic" w:hAnsi="Century Gothic"/>
              </w:rPr>
            </w:pPr>
          </w:p>
        </w:tc>
        <w:tc>
          <w:tcPr>
            <w:tcW w:w="9066" w:type="dxa"/>
            <w:tcBorders>
              <w:top w:val="nil"/>
              <w:bottom w:val="single" w:sz="4" w:space="0" w:color="auto"/>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 xml:space="preserve">per i prestiti non rateali </w:t>
            </w:r>
            <w:r>
              <w:rPr>
                <w:rFonts w:ascii="Century Gothic" w:hAnsi="Century Gothic"/>
              </w:rPr>
              <w:t>attualmente in essere che presentino scadenza anteriore a tale data.</w:t>
            </w:r>
          </w:p>
        </w:tc>
      </w:tr>
      <w:tr w:rsidR="003A5080" w:rsidTr="003A5080">
        <w:tc>
          <w:tcPr>
            <w:tcW w:w="562" w:type="dxa"/>
            <w:tcBorders>
              <w:top w:val="nil"/>
              <w:left w:val="nil"/>
              <w:bottom w:val="nil"/>
              <w:right w:val="nil"/>
            </w:tcBorders>
          </w:tcPr>
          <w:p w:rsidR="003A5080" w:rsidRDefault="003A5080">
            <w:pPr>
              <w:rPr>
                <w:rFonts w:ascii="Century Gothic" w:hAnsi="Century Gothic"/>
              </w:rPr>
            </w:pPr>
          </w:p>
        </w:tc>
        <w:tc>
          <w:tcPr>
            <w:tcW w:w="9066" w:type="dxa"/>
            <w:tcBorders>
              <w:top w:val="single" w:sz="4" w:space="0" w:color="auto"/>
              <w:left w:val="nil"/>
              <w:bottom w:val="nil"/>
              <w:right w:val="nil"/>
            </w:tcBorders>
          </w:tcPr>
          <w:p w:rsidR="003A5080" w:rsidRDefault="003A5080">
            <w:pPr>
              <w:rPr>
                <w:rFonts w:ascii="Century Gothic" w:hAnsi="Century Gothic"/>
              </w:rPr>
            </w:pPr>
          </w:p>
        </w:tc>
      </w:tr>
    </w:tbl>
    <w:p w:rsidR="003A5080" w:rsidRDefault="003A5080">
      <w:r>
        <w:br w:type="page"/>
      </w:r>
    </w:p>
    <w:tbl>
      <w:tblPr>
        <w:tblStyle w:val="Grigliatabella"/>
        <w:tblW w:w="0" w:type="auto"/>
        <w:tblInd w:w="5" w:type="dxa"/>
        <w:tblLook w:val="04A0" w:firstRow="1" w:lastRow="0" w:firstColumn="1" w:lastColumn="0" w:noHBand="0" w:noVBand="1"/>
      </w:tblPr>
      <w:tblGrid>
        <w:gridCol w:w="562"/>
        <w:gridCol w:w="421"/>
        <w:gridCol w:w="8640"/>
      </w:tblGrid>
      <w:tr w:rsidR="00C074F5" w:rsidTr="00E01F0C">
        <w:tc>
          <w:tcPr>
            <w:tcW w:w="562" w:type="dxa"/>
            <w:tcBorders>
              <w:top w:val="single" w:sz="4" w:space="0" w:color="auto"/>
              <w:left w:val="single" w:sz="4" w:space="0" w:color="auto"/>
              <w:bottom w:val="single" w:sz="4" w:space="0" w:color="auto"/>
              <w:right w:val="single" w:sz="4" w:space="0" w:color="auto"/>
            </w:tcBorders>
          </w:tcPr>
          <w:p w:rsidR="00C074F5" w:rsidRDefault="00C074F5">
            <w:pPr>
              <w:rPr>
                <w:rFonts w:ascii="Century Gothic" w:hAnsi="Century Gothic"/>
              </w:rPr>
            </w:pPr>
          </w:p>
        </w:tc>
        <w:tc>
          <w:tcPr>
            <w:tcW w:w="9066" w:type="dxa"/>
            <w:gridSpan w:val="2"/>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3A5080">
        <w:tc>
          <w:tcPr>
            <w:tcW w:w="562" w:type="dxa"/>
            <w:tcBorders>
              <w:left w:val="nil"/>
              <w:bottom w:val="nil"/>
            </w:tcBorders>
          </w:tcPr>
          <w:p w:rsidR="00C949FB" w:rsidRDefault="00C949FB">
            <w:pPr>
              <w:rPr>
                <w:rFonts w:ascii="Century Gothic" w:hAnsi="Century Gothic"/>
              </w:rPr>
            </w:pPr>
          </w:p>
        </w:tc>
        <w:tc>
          <w:tcPr>
            <w:tcW w:w="9066" w:type="dxa"/>
            <w:gridSpan w:val="2"/>
            <w:tcBorders>
              <w:top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E01F0C">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5"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E01F0C">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5"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E01F0C">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5"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E01F0C">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5"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411BC"/>
    <w:rsid w:val="001B0720"/>
    <w:rsid w:val="001C1EA7"/>
    <w:rsid w:val="001D3404"/>
    <w:rsid w:val="001F2857"/>
    <w:rsid w:val="00283C86"/>
    <w:rsid w:val="003A5080"/>
    <w:rsid w:val="004452B4"/>
    <w:rsid w:val="004C0B51"/>
    <w:rsid w:val="004D3BB6"/>
    <w:rsid w:val="005325EA"/>
    <w:rsid w:val="00574099"/>
    <w:rsid w:val="006B1477"/>
    <w:rsid w:val="006D6141"/>
    <w:rsid w:val="00772B9D"/>
    <w:rsid w:val="007F15B1"/>
    <w:rsid w:val="00B211D6"/>
    <w:rsid w:val="00B56047"/>
    <w:rsid w:val="00C074F5"/>
    <w:rsid w:val="00C5453D"/>
    <w:rsid w:val="00C66331"/>
    <w:rsid w:val="00C949FB"/>
    <w:rsid w:val="00CA5AEA"/>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DCD2"/>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141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pec.bccconversanowe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A026C518.dotm</Template>
  <TotalTime>90</TotalTime>
  <Pages>3</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SERAFINA VALENZANO</cp:lastModifiedBy>
  <cp:revision>17</cp:revision>
  <dcterms:created xsi:type="dcterms:W3CDTF">2020-03-18T12:37:00Z</dcterms:created>
  <dcterms:modified xsi:type="dcterms:W3CDTF">2020-03-25T14:22:00Z</dcterms:modified>
</cp:coreProperties>
</file>